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spacing w:afterLines="0" w:line="560" w:lineRule="exact"/>
              <w:contextualSpacing/>
              <w:jc w:val="center"/>
              <w:rPr>
                <w:rFonts w:hint="default" w:ascii="Times New Roman" w:hAnsi="Times New Roman" w:eastAsia="仿宋"/>
                <w:b/>
                <w:color w:val="FF0000"/>
                <w:spacing w:val="50"/>
                <w:w w:val="90"/>
                <w:sz w:val="32"/>
                <w:szCs w:val="32"/>
                <w:lang w:eastAsia="zh-CN"/>
              </w:rPr>
            </w:pPr>
            <w:bookmarkStart w:id="0" w:name="docnum"/>
            <w:r>
              <w:rPr>
                <w:rFonts w:hint="default" w:ascii="Times New Roman" w:hAnsi="Times New Roman" w:eastAsia="仿宋"/>
                <w:sz w:val="32"/>
                <w:szCs w:val="32"/>
                <w:lang w:eastAsia="zh-CN"/>
              </w:rPr>
              <w:t>厦大财〔2022〕41号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snapToGrid w:val="0"/>
              <w:spacing w:afterLines="0" w:line="560" w:lineRule="exact"/>
              <w:jc w:val="center"/>
              <w:rPr>
                <w:rFonts w:hint="default" w:ascii="Times New Roman" w:hAnsi="Times New Roman" w:eastAsia="仿宋"/>
                <w:sz w:val="32"/>
                <w:szCs w:val="32"/>
              </w:rPr>
            </w:pPr>
            <w:bookmarkStart w:id="3" w:name="_GoBack"/>
            <w:r>
              <w:rPr>
                <w:rFonts w:hint="default" w:ascii="Times New Roman" w:hAnsi="Times New Roman" w:eastAsia="仿宋"/>
                <w:sz w:val="32"/>
                <w:szCs w:val="32"/>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bookmarkEnd w:id="3"/>
          </w:p>
        </w:tc>
      </w:tr>
    </w:tbl>
    <w:p>
      <w:pPr>
        <w:widowControl/>
        <w:adjustRightInd w:val="0"/>
        <w:spacing w:afterLines="0" w:line="560" w:lineRule="exact"/>
        <w:contextualSpacing/>
        <w:rPr>
          <w:rFonts w:hint="default" w:ascii="Times New Roman" w:hAnsi="Times New Roman" w:eastAsia="仿宋" w:cs="Times New Roman"/>
          <w:sz w:val="32"/>
          <w:szCs w:val="32"/>
        </w:rPr>
      </w:pPr>
    </w:p>
    <w:p>
      <w:pPr>
        <w:pStyle w:val="19"/>
        <w:spacing w:after="0" w:afterLines="0" w:line="560" w:lineRule="exact"/>
        <w:ind w:firstLine="0"/>
        <w:rPr>
          <w:rFonts w:hint="eastAsia" w:ascii="方正小标宋简体" w:hAnsi="方正小标宋简体" w:eastAsia="方正小标宋简体" w:cs="方正小标宋简体"/>
          <w:sz w:val="44"/>
          <w:szCs w:val="44"/>
        </w:rPr>
      </w:pPr>
      <w:bookmarkStart w:id="1" w:name="redhead"/>
      <w:r>
        <w:rPr>
          <w:rFonts w:hint="eastAsia" w:ascii="方正小标宋简体" w:hAnsi="方正小标宋简体" w:cs="方正小标宋简体"/>
          <w:szCs w:val="44"/>
        </w:rPr>
        <w:t>关于印发《厦门大学科研劳务费</w:t>
      </w:r>
    </w:p>
    <w:p>
      <w:pPr>
        <w:pStyle w:val="19"/>
        <w:spacing w:after="0" w:afterLines="0" w:line="560" w:lineRule="exact"/>
        <w:ind w:firstLine="0"/>
        <w:rPr>
          <w:rFonts w:hint="eastAsia" w:ascii="方正小标宋简体" w:hAnsi="方正小标宋简体" w:cs="方正小标宋简体"/>
          <w:szCs w:val="44"/>
        </w:rPr>
      </w:pPr>
      <w:r>
        <w:rPr>
          <w:rFonts w:hint="eastAsia" w:ascii="方正小标宋简体" w:hAnsi="方正小标宋简体" w:cs="方正小标宋简体"/>
          <w:szCs w:val="44"/>
        </w:rPr>
        <w:t>管理规定》的通知</w:t>
      </w:r>
    </w:p>
    <w:p>
      <w:pPr>
        <w:pStyle w:val="19"/>
        <w:spacing w:afterLines="0" w:line="560" w:lineRule="exact"/>
        <w:jc w:val="left"/>
        <w:rPr>
          <w:rFonts w:hint="default" w:ascii="Times New Roman" w:hAnsi="Times New Roman" w:eastAsia="仿宋" w:cs="Times New Roman"/>
          <w:sz w:val="32"/>
          <w:szCs w:val="32"/>
        </w:rPr>
      </w:pPr>
    </w:p>
    <w:p>
      <w:pPr>
        <w:pStyle w:val="19"/>
        <w:spacing w:afterLines="0" w:line="560" w:lineRule="exact"/>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全校各单位：</w:t>
      </w:r>
    </w:p>
    <w:p>
      <w:pPr>
        <w:pStyle w:val="19"/>
        <w:spacing w:afterLines="0" w:line="560" w:lineRule="exact"/>
        <w:ind w:firstLine="629"/>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《厦门大学科研劳务费管理规定》经厦门大学2022年第19次校长办公会议、中共厦门大学第十一届委员会常务委员会第172次会议审议通过，现予以印发，请遵照执行。</w:t>
      </w:r>
    </w:p>
    <w:p>
      <w:pPr>
        <w:pStyle w:val="19"/>
        <w:spacing w:afterLines="0" w:line="560" w:lineRule="exact"/>
        <w:ind w:firstLine="629"/>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特此通知。</w:t>
      </w:r>
    </w:p>
    <w:p>
      <w:pPr>
        <w:pStyle w:val="19"/>
        <w:spacing w:afterLines="0" w:line="560" w:lineRule="exact"/>
        <w:ind w:firstLine="629"/>
        <w:rPr>
          <w:rFonts w:hint="default" w:ascii="Times New Roman" w:hAnsi="Times New Roman" w:eastAsia="仿宋" w:cs="Times New Roman"/>
          <w:sz w:val="32"/>
          <w:szCs w:val="32"/>
        </w:rPr>
      </w:pPr>
    </w:p>
    <w:p>
      <w:pPr>
        <w:pStyle w:val="19"/>
        <w:spacing w:afterLines="0" w:line="560" w:lineRule="exact"/>
        <w:ind w:firstLine="629"/>
        <w:rPr>
          <w:rFonts w:hint="default" w:ascii="Times New Roman" w:hAnsi="Times New Roman" w:eastAsia="仿宋" w:cs="Times New Roman"/>
          <w:sz w:val="32"/>
          <w:szCs w:val="32"/>
        </w:rPr>
      </w:pPr>
    </w:p>
    <w:p>
      <w:pPr>
        <w:pStyle w:val="19"/>
        <w:spacing w:afterLines="0" w:line="560" w:lineRule="exact"/>
        <w:ind w:firstLine="0"/>
        <w:jc w:val="both"/>
        <w:rPr>
          <w:rFonts w:hint="default" w:ascii="Times New Roman" w:hAnsi="Times New Roman" w:eastAsia="仿宋" w:cs="Times New Roman"/>
          <w:sz w:val="32"/>
          <w:szCs w:val="32"/>
        </w:rPr>
      </w:pPr>
      <w:r>
        <w:rPr>
          <w:rFonts w:hint="default" w:eastAsia="仿宋" w:cs="Times New Roman"/>
          <w:sz w:val="32"/>
          <w:szCs w:val="32"/>
        </w:rPr>
        <w:t xml:space="preserve">                                      </w:t>
      </w:r>
      <w:r>
        <w:rPr>
          <w:rFonts w:hint="default" w:ascii="Times New Roman" w:hAnsi="Times New Roman" w:eastAsia="仿宋" w:cs="Times New Roman"/>
          <w:sz w:val="32"/>
          <w:szCs w:val="32"/>
        </w:rPr>
        <w:t>厦门大学</w:t>
      </w:r>
    </w:p>
    <w:p>
      <w:pPr>
        <w:pStyle w:val="19"/>
        <w:spacing w:afterLines="0" w:line="560" w:lineRule="exact"/>
        <w:ind w:firstLine="0"/>
        <w:jc w:val="both"/>
        <w:rPr>
          <w:rFonts w:hint="default" w:ascii="Times New Roman" w:hAnsi="Times New Roman" w:eastAsia="仿宋" w:cs="Times New Roman"/>
          <w:sz w:val="32"/>
          <w:szCs w:val="32"/>
        </w:rPr>
      </w:pPr>
      <w:r>
        <w:rPr>
          <w:rFonts w:hint="default" w:eastAsia="仿宋" w:cs="Times New Roman"/>
          <w:sz w:val="32"/>
          <w:szCs w:val="32"/>
        </w:rPr>
        <w:t xml:space="preserve">                                   </w:t>
      </w:r>
      <w:r>
        <w:rPr>
          <w:rFonts w:hint="default" w:ascii="Times New Roman" w:hAnsi="Times New Roman" w:eastAsia="仿宋" w:cs="Times New Roman"/>
          <w:sz w:val="32"/>
          <w:szCs w:val="32"/>
        </w:rPr>
        <w:t>2022年8月10日</w:t>
      </w:r>
    </w:p>
    <w:p>
      <w:pPr>
        <w:pStyle w:val="19"/>
        <w:spacing w:after="0" w:afterLines="0" w:line="560" w:lineRule="exact"/>
        <w:ind w:firstLine="880"/>
        <w:rPr>
          <w:rFonts w:hint="default" w:eastAsia="仿宋" w:cs="Times New Roman"/>
          <w:sz w:val="32"/>
          <w:szCs w:val="32"/>
        </w:rPr>
      </w:pPr>
    </w:p>
    <w:p>
      <w:pPr>
        <w:pStyle w:val="19"/>
        <w:spacing w:after="0" w:afterLines="0" w:line="560" w:lineRule="exact"/>
        <w:rPr>
          <w:rFonts w:hint="default" w:eastAsia="仿宋" w:cs="Times New Roman"/>
          <w:sz w:val="32"/>
          <w:szCs w:val="32"/>
        </w:rPr>
      </w:pPr>
      <w:r>
        <w:rPr>
          <w:rFonts w:hint="eastAsia" w:ascii="方正小标宋简体" w:hAnsi="方正小标宋简体" w:cs="方正小标宋简体"/>
          <w:szCs w:val="44"/>
        </w:rPr>
        <w:t>厦门大学科研劳务费管理规定</w:t>
      </w:r>
    </w:p>
    <w:p>
      <w:pPr>
        <w:pStyle w:val="19"/>
        <w:spacing w:after="0" w:afterLines="0" w:line="560" w:lineRule="exact"/>
        <w:rPr>
          <w:rFonts w:hint="default" w:eastAsia="仿宋" w:cs="Times New Roman"/>
          <w:sz w:val="32"/>
          <w:szCs w:val="32"/>
        </w:rPr>
      </w:pPr>
    </w:p>
    <w:p>
      <w:pPr>
        <w:pStyle w:val="3"/>
        <w:spacing w:afterLines="0" w:line="560" w:lineRule="exact"/>
        <w:ind w:firstLine="632"/>
        <w:jc w:val="both"/>
        <w:rPr>
          <w:rFonts w:hint="default" w:cs="Times New Roman"/>
        </w:rPr>
      </w:pPr>
      <w:r>
        <w:rPr>
          <w:rFonts w:hint="default" w:cs="Times New Roman"/>
        </w:rPr>
        <w:t>为了进一步规范学校科研劳务费管理，根据中共中央办公厅、国务院办公厅《关于进一步完善中央财政科研项目资金管理等政策的若干意见》（2016年）、《国务院办公厅关于改革完善中央财政科研经费管理的若干意见》（国办发〔2021〕32号）等文件精神，结合我校实际，制定本办法。</w:t>
      </w:r>
    </w:p>
    <w:p>
      <w:pPr>
        <w:pStyle w:val="3"/>
        <w:spacing w:afterLines="0" w:line="560" w:lineRule="exact"/>
        <w:ind w:firstLine="632"/>
        <w:jc w:val="both"/>
        <w:rPr>
          <w:rFonts w:hint="default" w:cs="Times New Roman"/>
        </w:rPr>
      </w:pPr>
      <w:r>
        <w:rPr>
          <w:rFonts w:hint="default" w:cs="Times New Roman"/>
        </w:rPr>
        <w:t>科研劳务费是指在项目实施过程中支付给参与项目研究的研究生、博士后、访问学者以及项目聘用的研究人员、科研辅助人员等的劳务性费用，以及支付给临时聘请的咨询专家的费用等。</w:t>
      </w:r>
    </w:p>
    <w:p>
      <w:pPr>
        <w:spacing w:afterLines="0" w:line="560" w:lineRule="exact"/>
        <w:ind w:firstLine="632"/>
        <w:rPr>
          <w:rFonts w:hint="default" w:eastAsia="仿宋" w:cs="Times New Roman"/>
          <w:bCs/>
          <w:sz w:val="32"/>
          <w:szCs w:val="32"/>
        </w:rPr>
      </w:pPr>
      <w:r>
        <w:rPr>
          <w:rFonts w:hint="default" w:eastAsia="仿宋" w:cs="Times New Roman"/>
          <w:bCs/>
          <w:sz w:val="32"/>
          <w:szCs w:val="32"/>
        </w:rPr>
        <w:t>项目聘用人员的劳务费开支标准，参照当地科学研究和技术服务业从业人员平均工资水平，根据其在项目研究中承担的工作任务确定，其由单位缴纳的社会保险补助、住房公积金等纳入劳务费科目列支。有工资性收入的本校在职人员原则上不得领取劳务费。</w:t>
      </w:r>
    </w:p>
    <w:p>
      <w:pPr>
        <w:spacing w:afterLines="0" w:line="560" w:lineRule="exact"/>
        <w:ind w:firstLine="632"/>
        <w:rPr>
          <w:rFonts w:hint="default" w:eastAsia="仿宋" w:cs="Times New Roman"/>
          <w:bCs/>
          <w:sz w:val="32"/>
          <w:szCs w:val="32"/>
        </w:rPr>
      </w:pPr>
      <w:r>
        <w:rPr>
          <w:rFonts w:hint="default" w:eastAsia="仿宋" w:cs="Times New Roman"/>
          <w:bCs/>
          <w:sz w:val="32"/>
          <w:szCs w:val="32"/>
        </w:rPr>
        <w:t>访问学者应当通过人事处认定。</w:t>
      </w:r>
    </w:p>
    <w:p>
      <w:pPr>
        <w:pStyle w:val="3"/>
        <w:numPr>
          <w:ilvl w:val="0"/>
          <w:numId w:val="0"/>
        </w:numPr>
        <w:spacing w:afterLines="0" w:line="560" w:lineRule="exact"/>
        <w:ind w:firstLine="640" w:firstLineChars="200"/>
        <w:jc w:val="both"/>
        <w:rPr>
          <w:rFonts w:hint="default" w:cs="Times New Roman"/>
        </w:rPr>
      </w:pPr>
      <w:r>
        <w:rPr>
          <w:rFonts w:hint="default" w:cs="Times New Roman"/>
        </w:rPr>
        <w:t>专家咨询费不得支付给参与本项目及所属课题研究和管理的相关人员，其管理按照项目主管单位有关规定和《厦门大学科研项目专家咨询费管理办法》执行。</w:t>
      </w:r>
    </w:p>
    <w:p>
      <w:pPr>
        <w:pStyle w:val="3"/>
        <w:spacing w:afterLines="0" w:line="560" w:lineRule="exact"/>
        <w:ind w:firstLine="632"/>
        <w:jc w:val="both"/>
        <w:rPr>
          <w:rFonts w:hint="default" w:cs="Times New Roman"/>
        </w:rPr>
      </w:pPr>
      <w:r>
        <w:rPr>
          <w:rFonts w:hint="default" w:cs="Times New Roman"/>
        </w:rPr>
        <w:t>纵向科研项目劳务费应当按照相关规定在预算范围内据实列支；横向科研项目劳务费应当结合科研项目合同和实际需要，在学校横向科研项目经费管理相关规定预算范围内使用。</w:t>
      </w:r>
    </w:p>
    <w:p>
      <w:pPr>
        <w:pStyle w:val="3"/>
        <w:spacing w:afterLines="0" w:line="560" w:lineRule="exact"/>
        <w:ind w:firstLine="632"/>
        <w:jc w:val="both"/>
        <w:rPr>
          <w:rFonts w:hint="default" w:cs="Times New Roman"/>
        </w:rPr>
      </w:pPr>
      <w:r>
        <w:rPr>
          <w:rFonts w:hint="default" w:cs="Times New Roman"/>
        </w:rPr>
        <w:t>科研劳务费的发放期间应当与项目（课题）研究周期相符。项目聘用人员的劳务费发放标准应当遵循市场规律，参照厦门市科学研究和技术服务业从业人员平均工资水平，结合在项目（课题）研究中承担的工作任务，按照多劳多得的原则据实列支。对于数额明显高于厦门市平均工资水平的，必须提供辅助证明材料，比如高级职称证或特殊行业资格证等。</w:t>
      </w:r>
    </w:p>
    <w:p>
      <w:pPr>
        <w:spacing w:afterLines="0" w:line="560" w:lineRule="exact"/>
        <w:ind w:firstLine="632"/>
        <w:rPr>
          <w:rFonts w:hint="default" w:eastAsia="仿宋"/>
          <w:sz w:val="32"/>
          <w:szCs w:val="32"/>
        </w:rPr>
      </w:pPr>
      <w:r>
        <w:rPr>
          <w:rFonts w:hint="default" w:eastAsia="仿宋"/>
          <w:sz w:val="32"/>
          <w:szCs w:val="32"/>
        </w:rPr>
        <w:t>研究生、博士后、访问学者劳务费根据参与项目研究的工作量据实发放；项目聘用的研究人员、科研辅助人员属于退休人员返聘的，其聘用工资原则上不高于同类人员当前工资与其退休工资差额。</w:t>
      </w:r>
    </w:p>
    <w:p>
      <w:pPr>
        <w:pStyle w:val="3"/>
        <w:spacing w:afterLines="0" w:line="560" w:lineRule="exact"/>
        <w:ind w:firstLine="632"/>
        <w:jc w:val="both"/>
        <w:rPr>
          <w:rFonts w:hint="default" w:cs="Times New Roman"/>
        </w:rPr>
      </w:pPr>
      <w:r>
        <w:rPr>
          <w:rFonts w:hint="default" w:cs="Times New Roman"/>
        </w:rPr>
        <w:t>项目（课题）组及科研项目负责人应当加强相关人员的科研工作记录、强化业绩考核，确保劳务费发放有据可依。</w:t>
      </w:r>
    </w:p>
    <w:p>
      <w:pPr>
        <w:pStyle w:val="3"/>
        <w:spacing w:afterLines="0" w:line="560" w:lineRule="exact"/>
        <w:ind w:firstLine="632"/>
        <w:jc w:val="both"/>
        <w:rPr>
          <w:rFonts w:hint="default" w:cs="Times New Roman"/>
        </w:rPr>
      </w:pPr>
      <w:r>
        <w:rPr>
          <w:rFonts w:hint="default" w:cs="Times New Roman"/>
        </w:rPr>
        <w:t>科研劳务费发放由项目（课题）负责人审批，超过厦门市同类同级平均工资的，由所在</w:t>
      </w:r>
      <w:r>
        <w:rPr>
          <w:rFonts w:hint="default" w:cs="Times New Roman"/>
          <w:kern w:val="0"/>
        </w:rPr>
        <w:t>二级单位（含学院、研究院、直属系、中心等及其他不具有法人资格的单位</w:t>
      </w:r>
      <w:r>
        <w:rPr>
          <w:rFonts w:hint="default" w:ascii="Times New Roman" w:hAnsi="Times New Roman" w:cs="Times New Roman"/>
        </w:rPr>
        <w:t>）</w:t>
      </w:r>
      <w:r>
        <w:rPr>
          <w:rFonts w:hint="default" w:cs="Times New Roman"/>
        </w:rPr>
        <w:t>审批。</w:t>
      </w:r>
    </w:p>
    <w:p>
      <w:pPr>
        <w:pStyle w:val="3"/>
        <w:spacing w:afterLines="0" w:line="560" w:lineRule="exact"/>
        <w:ind w:firstLine="632"/>
        <w:jc w:val="both"/>
        <w:rPr>
          <w:rFonts w:hint="default" w:cs="Times New Roman"/>
        </w:rPr>
      </w:pPr>
      <w:r>
        <w:rPr>
          <w:rFonts w:hint="default" w:cs="Times New Roman"/>
        </w:rPr>
        <w:t>科研劳务费发放原则上由财务处通过转账支付方式转入个人银行卡。</w:t>
      </w:r>
    </w:p>
    <w:p>
      <w:pPr>
        <w:pStyle w:val="3"/>
        <w:spacing w:afterLines="0" w:line="560" w:lineRule="exact"/>
        <w:ind w:firstLine="632"/>
        <w:jc w:val="both"/>
        <w:rPr>
          <w:rFonts w:hint="default" w:cs="Times New Roman"/>
        </w:rPr>
      </w:pPr>
      <w:r>
        <w:rPr>
          <w:rFonts w:hint="default" w:cs="Times New Roman"/>
        </w:rPr>
        <w:t>科研劳务费计税按照国家个人所得税相关规定执行，由学校代扣代缴。</w:t>
      </w:r>
    </w:p>
    <w:p>
      <w:pPr>
        <w:pStyle w:val="3"/>
        <w:spacing w:afterLines="0" w:line="560" w:lineRule="exact"/>
        <w:ind w:firstLine="632"/>
        <w:jc w:val="both"/>
        <w:rPr>
          <w:rFonts w:hint="default" w:cs="Times New Roman"/>
        </w:rPr>
      </w:pPr>
      <w:r>
        <w:rPr>
          <w:rFonts w:hint="default" w:cs="Times New Roman"/>
        </w:rPr>
        <w:t>不得以编造虚假合同、虚构人员名单等方式虚报冒领劳务费。从项目（课题）就某一工作领取专家咨询费的人员，不得同时领取劳务费。</w:t>
      </w:r>
    </w:p>
    <w:p>
      <w:pPr>
        <w:pStyle w:val="3"/>
        <w:spacing w:afterLines="0" w:line="560" w:lineRule="exact"/>
        <w:ind w:firstLine="632"/>
        <w:jc w:val="both"/>
        <w:rPr>
          <w:rFonts w:hint="default" w:cs="Times New Roman"/>
        </w:rPr>
      </w:pPr>
      <w:r>
        <w:rPr>
          <w:rFonts w:hint="default" w:cs="Times New Roman"/>
        </w:rPr>
        <w:t>为了加强对劳务性支出的监督管理，确保经费使用的真实合法，学校监督和审计职能部门应当不定期对劳务支出比较集中的项目进行抽查和审计。对违反国家相关规定和财经纪律的，根据《厦门大学教职工处分暂行规定》，追究项目负责人的责任。</w:t>
      </w:r>
    </w:p>
    <w:p>
      <w:pPr>
        <w:pStyle w:val="3"/>
        <w:spacing w:afterLines="0" w:line="560" w:lineRule="exact"/>
        <w:ind w:firstLine="632"/>
        <w:jc w:val="both"/>
        <w:rPr>
          <w:rFonts w:hint="default" w:cs="Times New Roman"/>
        </w:rPr>
      </w:pPr>
      <w:r>
        <w:rPr>
          <w:rFonts w:hint="default" w:cs="Times New Roman"/>
          <w:kern w:val="0"/>
        </w:rPr>
        <w:t>二级单位</w:t>
      </w:r>
      <w:r>
        <w:rPr>
          <w:rFonts w:hint="default" w:cs="Times New Roman"/>
        </w:rPr>
        <w:t>应当根据学科特点和本单位实际情况，制定管理细则，报学校科研管理部门和财务处备案后实施。</w:t>
      </w:r>
    </w:p>
    <w:p>
      <w:pPr>
        <w:pStyle w:val="3"/>
        <w:spacing w:afterLines="0" w:line="560" w:lineRule="exact"/>
        <w:ind w:firstLine="632"/>
        <w:jc w:val="both"/>
        <w:rPr>
          <w:rFonts w:hint="default" w:cs="Times New Roman"/>
        </w:rPr>
      </w:pPr>
      <w:r>
        <w:rPr>
          <w:rFonts w:hint="default" w:cs="Times New Roman"/>
        </w:rPr>
        <w:t>本规定由科技处、社科处、财务处负责解释。</w:t>
      </w:r>
    </w:p>
    <w:p>
      <w:pPr>
        <w:pStyle w:val="3"/>
        <w:spacing w:afterLines="0" w:line="560" w:lineRule="exact"/>
        <w:ind w:firstLine="632"/>
        <w:jc w:val="both"/>
        <w:rPr>
          <w:rFonts w:hint="default" w:cs="Times New Roman"/>
        </w:rPr>
      </w:pPr>
      <w:r>
        <w:rPr>
          <w:rFonts w:hint="default" w:cs="Times New Roman"/>
        </w:rPr>
        <w:t>本规定自公布之日起施行。《厦门大学科研项目劳务费管理规定》（厦大财〔2016〕73号）同时废止。</w:t>
      </w:r>
    </w:p>
    <w:bookmarkEnd w:id="1"/>
    <w:p>
      <w:pPr>
        <w:widowControl/>
        <w:adjustRightInd w:val="0"/>
        <w:spacing w:afterLines="0" w:line="560" w:lineRule="exact"/>
        <w:contextualSpacing/>
        <w:rPr>
          <w:rFonts w:hint="default" w:eastAsia="仿宋"/>
          <w:sz w:val="32"/>
          <w:szCs w:val="32"/>
        </w:rPr>
      </w:pPr>
      <w:r>
        <w:rPr>
          <w:rFonts w:hint="default" w:ascii="Times New Roman" w:hAnsi="Times New Roman" w:eastAsia="仿宋"/>
          <w:sz w:val="32"/>
          <w:szCs w:val="32"/>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9"/>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9"/>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ind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B7EEE"/>
    <w:multiLevelType w:val="multilevel"/>
    <w:tmpl w:val="750B7EEE"/>
    <w:lvl w:ilvl="0" w:tentative="0">
      <w:start w:val="1"/>
      <w:numFmt w:val="chineseCountingThousand"/>
      <w:pStyle w:val="2"/>
      <w:lvlText w:val="第%1章"/>
      <w:lvlJc w:val="left"/>
      <w:pPr>
        <w:ind w:left="0" w:firstLine="0"/>
      </w:pPr>
      <w:rPr>
        <w:rFonts w:hint="eastAsia"/>
      </w:rPr>
    </w:lvl>
    <w:lvl w:ilvl="1" w:tentative="0">
      <w:start w:val="1"/>
      <w:numFmt w:val="chineseCountingThousand"/>
      <w:lvlRestart w:val="0"/>
      <w:pStyle w:val="3"/>
      <w:lvlText w:val="第%2条"/>
      <w:lvlJc w:val="left"/>
      <w:pPr>
        <w:ind w:left="568" w:firstLine="0"/>
      </w:pPr>
      <w:rPr>
        <w:rFonts w:hint="default" w:ascii="Times New Roman" w:hAnsi="Times New Roman" w:eastAsia="仿宋"/>
        <w:b/>
        <w:i w:val="0"/>
        <w:sz w:val="32"/>
      </w:rPr>
    </w:lvl>
    <w:lvl w:ilvl="2" w:tentative="0">
      <w:start w:val="1"/>
      <w:numFmt w:val="chineseCountingThousand"/>
      <w:pStyle w:val="4"/>
      <w:lvlText w:val="（%3）"/>
      <w:lvlJc w:val="left"/>
      <w:pPr>
        <w:ind w:left="0"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34AF066E"/>
    <w:rsid w:val="BD7333E9"/>
    <w:rsid w:val="E943D4FF"/>
    <w:rsid w:val="FAAB478F"/>
    <w:rsid w:val="FEF73A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7"/>
    <w:qFormat/>
    <w:uiPriority w:val="9"/>
    <w:pPr>
      <w:numPr>
        <w:ilvl w:val="0"/>
        <w:numId w:val="1"/>
      </w:numPr>
      <w:adjustRightInd w:val="0"/>
      <w:snapToGrid w:val="0"/>
      <w:spacing w:beforeLines="100" w:line="579" w:lineRule="exact"/>
      <w:ind w:firstLine="200" w:firstLineChars="0"/>
      <w:jc w:val="center"/>
      <w:outlineLvl w:val="0"/>
    </w:pPr>
    <w:rPr>
      <w:rFonts w:eastAsia="黑体" w:cstheme="minorBidi"/>
      <w:b/>
      <w:bCs/>
      <w:kern w:val="44"/>
      <w:sz w:val="32"/>
      <w:szCs w:val="44"/>
    </w:rPr>
  </w:style>
  <w:style w:type="paragraph" w:styleId="3">
    <w:name w:val="heading 2"/>
    <w:basedOn w:val="1"/>
    <w:next w:val="1"/>
    <w:link w:val="18"/>
    <w:unhideWhenUsed/>
    <w:qFormat/>
    <w:uiPriority w:val="9"/>
    <w:pPr>
      <w:numPr>
        <w:ilvl w:val="1"/>
        <w:numId w:val="1"/>
      </w:numPr>
      <w:adjustRightInd w:val="0"/>
      <w:snapToGrid w:val="0"/>
      <w:spacing w:line="579" w:lineRule="exact"/>
      <w:ind w:left="0" w:firstLine="200" w:firstLineChars="200"/>
      <w:jc w:val="left"/>
      <w:outlineLvl w:val="1"/>
    </w:pPr>
    <w:rPr>
      <w:rFonts w:eastAsia="仿宋" w:cstheme="majorBidi"/>
      <w:bCs/>
      <w:sz w:val="32"/>
      <w:szCs w:val="32"/>
    </w:rPr>
  </w:style>
  <w:style w:type="paragraph" w:styleId="4">
    <w:name w:val="heading 3"/>
    <w:basedOn w:val="1"/>
    <w:next w:val="1"/>
    <w:link w:val="20"/>
    <w:unhideWhenUsed/>
    <w:qFormat/>
    <w:uiPriority w:val="9"/>
    <w:pPr>
      <w:numPr>
        <w:ilvl w:val="2"/>
        <w:numId w:val="1"/>
      </w:numPr>
      <w:adjustRightInd w:val="0"/>
      <w:snapToGrid w:val="0"/>
      <w:spacing w:line="579" w:lineRule="exact"/>
      <w:ind w:firstLine="200" w:firstLineChars="200"/>
      <w:outlineLvl w:val="2"/>
    </w:pPr>
    <w:rPr>
      <w:rFonts w:eastAsia="仿宋" w:cstheme="minorBidi"/>
      <w:bCs/>
      <w:sz w:val="32"/>
      <w:szCs w:val="32"/>
    </w:rPr>
  </w:style>
  <w:style w:type="paragraph" w:styleId="5">
    <w:name w:val="heading 4"/>
    <w:basedOn w:val="1"/>
    <w:next w:val="1"/>
    <w:link w:val="22"/>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1">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6">
    <w:name w:val="Balloon Text"/>
    <w:basedOn w:val="1"/>
    <w:link w:val="14"/>
    <w:semiHidden/>
    <w:unhideWhenUsed/>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kern w:val="0"/>
      <w:sz w:val="18"/>
      <w:szCs w:val="18"/>
      <w:lang w:val="zh-CN" w:eastAsia="zh-CN"/>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semiHidden/>
    <w:unhideWhenUsed/>
    <w:uiPriority w:val="99"/>
  </w:style>
  <w:style w:type="character" w:customStyle="1" w:styleId="13">
    <w:name w:val="页脚 Char"/>
    <w:link w:val="7"/>
    <w:uiPriority w:val="99"/>
    <w:rPr>
      <w:rFonts w:ascii="Times New Roman" w:hAnsi="Times New Roman" w:eastAsia="宋体" w:cs="Times New Roman"/>
      <w:kern w:val="0"/>
      <w:sz w:val="18"/>
      <w:szCs w:val="18"/>
      <w:lang w:val="zh-CN" w:eastAsia="zh-CN"/>
    </w:rPr>
  </w:style>
  <w:style w:type="character" w:customStyle="1" w:styleId="14">
    <w:name w:val="批注框文本 字符"/>
    <w:basedOn w:val="11"/>
    <w:link w:val="6"/>
    <w:semiHidden/>
    <w:qFormat/>
    <w:uiPriority w:val="99"/>
    <w:rPr>
      <w:rFonts w:ascii="Times New Roman" w:hAnsi="Times New Roman"/>
      <w:kern w:val="2"/>
      <w:sz w:val="18"/>
      <w:szCs w:val="18"/>
    </w:rPr>
  </w:style>
  <w:style w:type="table" w:customStyle="1" w:styleId="15">
    <w:name w:val="Grid Table 1 Light"/>
    <w:basedOn w:val="9"/>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6">
    <w:name w:val="页眉 字符"/>
    <w:basedOn w:val="11"/>
    <w:link w:val="8"/>
    <w:uiPriority w:val="99"/>
    <w:rPr>
      <w:rFonts w:ascii="Times New Roman" w:hAnsi="Times New Roman"/>
      <w:kern w:val="2"/>
      <w:sz w:val="18"/>
      <w:szCs w:val="18"/>
    </w:rPr>
  </w:style>
  <w:style w:type="character" w:customStyle="1" w:styleId="17">
    <w:name w:val="标题 1 字符"/>
    <w:basedOn w:val="11"/>
    <w:link w:val="2"/>
    <w:qFormat/>
    <w:uiPriority w:val="9"/>
    <w:rPr>
      <w:rFonts w:eastAsia="黑体" w:asciiTheme="minorHAnsi" w:hAnsiTheme="minorHAnsi" w:cstheme="minorBidi"/>
      <w:b/>
      <w:bCs/>
      <w:kern w:val="44"/>
      <w:szCs w:val="44"/>
    </w:rPr>
  </w:style>
  <w:style w:type="character" w:customStyle="1" w:styleId="18">
    <w:name w:val="标题 2 字符"/>
    <w:basedOn w:val="11"/>
    <w:link w:val="3"/>
    <w:uiPriority w:val="9"/>
    <w:rPr>
      <w:rFonts w:asciiTheme="minorHAnsi" w:hAnsiTheme="minorHAnsi" w:eastAsiaTheme="minorEastAsia" w:cstheme="majorBidi"/>
      <w:bCs/>
      <w:szCs w:val="32"/>
    </w:rPr>
  </w:style>
  <w:style w:type="paragraph" w:customStyle="1" w:styleId="19">
    <w:name w:val="00公文标题"/>
    <w:basedOn w:val="1"/>
    <w:link w:val="21"/>
    <w:qFormat/>
    <w:uiPriority w:val="0"/>
    <w:pPr>
      <w:adjustRightInd w:val="0"/>
      <w:snapToGrid w:val="0"/>
      <w:spacing w:afterLines="100" w:line="579" w:lineRule="exact"/>
      <w:ind w:firstLine="0" w:firstLineChars="0"/>
      <w:jc w:val="center"/>
      <w:outlineLvl w:val="0"/>
    </w:pPr>
    <w:rPr>
      <w:rFonts w:eastAsia="方正小标宋简体" w:cstheme="minorBidi"/>
      <w:sz w:val="44"/>
      <w:szCs w:val="22"/>
    </w:rPr>
  </w:style>
  <w:style w:type="character" w:customStyle="1" w:styleId="20">
    <w:name w:val="标题 3 字符"/>
    <w:basedOn w:val="11"/>
    <w:link w:val="4"/>
    <w:qFormat/>
    <w:uiPriority w:val="9"/>
    <w:rPr>
      <w:rFonts w:asciiTheme="minorHAnsi" w:hAnsiTheme="minorHAnsi" w:eastAsiaTheme="minorEastAsia" w:cstheme="minorBidi"/>
      <w:bCs/>
      <w:szCs w:val="32"/>
    </w:rPr>
  </w:style>
  <w:style w:type="character" w:customStyle="1" w:styleId="21">
    <w:name w:val="00公文标题 字符"/>
    <w:basedOn w:val="11"/>
    <w:link w:val="19"/>
    <w:qFormat/>
    <w:uiPriority w:val="0"/>
    <w:rPr>
      <w:rFonts w:eastAsia="方正小标宋简体" w:asciiTheme="minorHAnsi" w:hAnsiTheme="minorHAnsi" w:cstheme="minorBidi"/>
      <w:sz w:val="44"/>
    </w:rPr>
  </w:style>
  <w:style w:type="character" w:customStyle="1" w:styleId="22">
    <w:name w:val="标题 4 字符"/>
    <w:basedOn w:val="11"/>
    <w:link w:val="5"/>
    <w:qFormat/>
    <w:uiPriority w:val="9"/>
    <w:rPr>
      <w:rFonts w:asciiTheme="minorHAnsi" w:hAnsiTheme="minorHAnsi" w:eastAsiaTheme="minorEastAsia" w:cstheme="majorBidi"/>
      <w:bCs/>
      <w:szCs w:val="28"/>
    </w:rPr>
  </w:style>
  <w:style w:type="character" w:customStyle="1" w:styleId="23">
    <w:name w:val="页脚 字符"/>
    <w:basedOn w:val="11"/>
    <w:link w:val="7"/>
    <w:qFormat/>
    <w:uiPriority w:val="99"/>
    <w:rPr>
      <w:rFonts w:ascii="Times New Roman" w:hAnsi="Times New Roman" w:eastAsia="仿宋" w:cstheme="minorBidi"/>
      <w:sz w:val="18"/>
      <w:szCs w:val="18"/>
    </w:rPr>
  </w:style>
  <w:style w:type="paragraph" w:customStyle="1" w:styleId="24">
    <w:name w:val="12页码奇数页"/>
    <w:basedOn w:val="7"/>
    <w:link w:val="26"/>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5">
    <w:name w:val="12页码偶数页"/>
    <w:basedOn w:val="7"/>
    <w:link w:val="27"/>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6">
    <w:name w:val="12页码奇数页 字符"/>
    <w:basedOn w:val="23"/>
    <w:link w:val="24"/>
    <w:uiPriority w:val="0"/>
    <w:rPr>
      <w:rFonts w:ascii="宋体" w:hAnsi="宋体" w:eastAsia="宋体"/>
      <w:sz w:val="28"/>
      <w:szCs w:val="28"/>
    </w:rPr>
  </w:style>
  <w:style w:type="character" w:customStyle="1" w:styleId="27">
    <w:name w:val="12页码偶数页 字符"/>
    <w:basedOn w:val="23"/>
    <w:link w:val="25"/>
    <w:uiPriority w:val="0"/>
    <w:rPr>
      <w:rFonts w:ascii="宋体" w:hAnsi="宋体" w:eastAsia="宋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4</Pages>
  <Words>213</Words>
  <Characters>1218</Characters>
  <Lines>10</Lines>
  <Paragraphs>2</Paragraphs>
  <TotalTime>7</TotalTime>
  <ScaleCrop>false</ScaleCrop>
  <LinksUpToDate>false</LinksUpToDate>
  <CharactersWithSpaces>1429</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2022-06-26T02:09:00Z</dcterms:created>
  <dc:creator>guest</dc:creator>
  <cp:lastModifiedBy>root</cp:lastModifiedBy>
  <dcterms:modified xsi:type="dcterms:W3CDTF">2022-08-11T15:44:06Z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